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3A7" w:rsidRPr="004D5C0C" w:rsidRDefault="006733A7" w:rsidP="00C06262">
      <w:pPr>
        <w:spacing w:line="0" w:lineRule="atLeast"/>
        <w:ind w:right="6"/>
        <w:jc w:val="center"/>
        <w:rPr>
          <w:rFonts w:asciiTheme="minorHAnsi" w:eastAsia="Times New Roman" w:hAnsiTheme="minorHAnsi" w:cstheme="minorHAnsi"/>
          <w:b/>
        </w:rPr>
      </w:pPr>
    </w:p>
    <w:p w:rsidR="00C06262" w:rsidRPr="004D5C0C" w:rsidRDefault="00C06262" w:rsidP="00C06262">
      <w:pPr>
        <w:spacing w:line="0" w:lineRule="atLeast"/>
        <w:ind w:right="6"/>
        <w:jc w:val="center"/>
        <w:rPr>
          <w:rFonts w:asciiTheme="minorHAnsi" w:eastAsia="Times New Roman" w:hAnsiTheme="minorHAnsi" w:cstheme="minorHAnsi"/>
          <w:b/>
        </w:rPr>
      </w:pPr>
      <w:r w:rsidRPr="004D5C0C">
        <w:rPr>
          <w:rFonts w:asciiTheme="minorHAnsi" w:eastAsia="Times New Roman" w:hAnsiTheme="minorHAnsi" w:cstheme="minorHAnsi"/>
          <w:b/>
        </w:rPr>
        <w:t xml:space="preserve">ANEXO </w:t>
      </w:r>
      <w:r w:rsidR="00971E27">
        <w:rPr>
          <w:rFonts w:asciiTheme="minorHAnsi" w:eastAsia="Times New Roman" w:hAnsiTheme="minorHAnsi" w:cstheme="minorHAnsi"/>
          <w:b/>
        </w:rPr>
        <w:t>I</w:t>
      </w:r>
      <w:r w:rsidRPr="004D5C0C">
        <w:rPr>
          <w:rFonts w:asciiTheme="minorHAnsi" w:eastAsia="Times New Roman" w:hAnsiTheme="minorHAnsi" w:cstheme="minorHAnsi"/>
          <w:b/>
        </w:rPr>
        <w:t>V</w:t>
      </w:r>
    </w:p>
    <w:p w:rsidR="00C06262" w:rsidRPr="004D5C0C" w:rsidRDefault="00C06262" w:rsidP="00C06262">
      <w:pPr>
        <w:spacing w:line="0" w:lineRule="atLeast"/>
        <w:ind w:right="6"/>
        <w:jc w:val="center"/>
        <w:rPr>
          <w:rFonts w:asciiTheme="minorHAnsi" w:eastAsia="Times New Roman" w:hAnsiTheme="minorHAnsi" w:cstheme="minorHAnsi"/>
          <w:b/>
        </w:rPr>
      </w:pPr>
      <w:r w:rsidRPr="004D5C0C">
        <w:rPr>
          <w:rFonts w:asciiTheme="minorHAnsi" w:eastAsia="Times New Roman" w:hAnsiTheme="minorHAnsi" w:cstheme="minorHAnsi"/>
          <w:b/>
        </w:rPr>
        <w:t>MODELO DE INSTRUMENTO DE MEDIÇÃO DE RESULTADO (IMR)</w:t>
      </w:r>
    </w:p>
    <w:p w:rsidR="00C06262" w:rsidRPr="004D5C0C" w:rsidRDefault="00C06262" w:rsidP="00C06262">
      <w:pPr>
        <w:spacing w:line="276" w:lineRule="exact"/>
        <w:rPr>
          <w:rFonts w:asciiTheme="minorHAnsi" w:eastAsia="Times New Roman" w:hAnsiTheme="minorHAnsi" w:cstheme="minorHAnsi"/>
        </w:rPr>
      </w:pPr>
    </w:p>
    <w:p w:rsidR="00C06262" w:rsidRPr="004D5C0C" w:rsidRDefault="00C06262" w:rsidP="00C06262">
      <w:pPr>
        <w:spacing w:line="0" w:lineRule="atLeast"/>
        <w:ind w:right="6"/>
        <w:jc w:val="center"/>
        <w:rPr>
          <w:rFonts w:asciiTheme="minorHAnsi" w:eastAsia="Times New Roman" w:hAnsiTheme="minorHAnsi" w:cstheme="minorHAnsi"/>
          <w:b/>
        </w:rPr>
      </w:pPr>
      <w:r w:rsidRPr="004D5C0C">
        <w:rPr>
          <w:rFonts w:asciiTheme="minorHAnsi" w:eastAsia="Times New Roman" w:hAnsiTheme="minorHAnsi" w:cstheme="minorHAnsi"/>
          <w:b/>
        </w:rPr>
        <w:t>(Avaliação da qualidade dos serviços)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211F1F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1. O Instrumento de Medição de Resultados (IMR) define metas quantificáveis a serem cumpridas pela CONTRATADA na execução do Contrato. Para tanto, são definidos indicadores objetivamente mensuráveis que buscam aferir e avaliar a qualidade da prestação dos serviços contratados.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 Condições gerais:</w:t>
      </w:r>
    </w:p>
    <w:p w:rsidR="00C06262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 xml:space="preserve">2.1 Para o acompanhamento e avaliação dos serviços da Contratada </w:t>
      </w: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será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 xml:space="preserve"> estabelecido e utilizado o Instrumento de Medição de Resultado – IMR entre as partes, baseando-se em indicadores e metas definidos neste documento.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2.2. A análise dos resultados destas avaliações pela Contratante poderá resultar em penalidades, conforme prevê este documento, caso a Contratada não cumpra com os seus compromissos de apresentação, pontualidade, disponibilidade e de prestação do objeto contratual, conforme estabelecido pelos indicadores.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2.3 O IMR deve ser considerado e entendido pela Contratada como um compromisso de qualidade que assumirá junto à Contratante. O IMR é um instrumento ágil e objetivo de avaliação da qualidade da execução contratual, associando o pagamento à qualidade efetivamente obtida.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2.4 Para o recebimento integral do valor contratado, a empresa contratada deverá cumprir com suas obrigações contratuais, em especial as dispostas nos indicadores de desempenho.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 xml:space="preserve">2.5 O IMR será implementado a partir da primeira medição da data de assinatura do contrato, cabendo ao </w:t>
      </w:r>
      <w:r w:rsidRPr="004D5C0C">
        <w:rPr>
          <w:rFonts w:asciiTheme="minorHAnsi" w:eastAsiaTheme="minorHAnsi" w:hAnsiTheme="minorHAnsi" w:cstheme="minorHAnsi"/>
          <w:u w:val="single"/>
          <w:lang w:eastAsia="en-US"/>
        </w:rPr>
        <w:t>Fiscal Técnico</w:t>
      </w:r>
      <w:r w:rsidRPr="004D5C0C">
        <w:rPr>
          <w:rFonts w:asciiTheme="minorHAnsi" w:eastAsiaTheme="minorHAnsi" w:hAnsiTheme="minorHAnsi" w:cstheme="minorHAnsi"/>
          <w:lang w:eastAsia="en-US"/>
        </w:rPr>
        <w:t xml:space="preserve"> do contrato avaliar mensalmente a execução dos serviços prestados.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2.6 Para consecução destes objetivos deverá ser adotado as regras e metodologias de medição de resultado descritas nos itens abaixo.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3. O cumprimento do Instrumento de Medição de Resultados (IMR) condiciona o pagamento dos serviços prestados.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4. Dependendo da criticidade e urgência da demanda, o serviço poderá ser classificado pelos seguintes níveis de prioridade: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4.1 EMERGÊNCIA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1h (uma hora);</w:t>
      </w: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4.2 URGENTE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24hs (vinte e quatro horas);</w:t>
      </w: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4.3 ALTA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3 (três) dias;</w:t>
      </w: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4.4 MÉDIA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7 (sete) dias;</w:t>
      </w: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4.5 BAIXA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15 (quinze) dias;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 xml:space="preserve">5. A contagem do prazo de atendimento poderá ser </w:t>
      </w: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suspenso ou prorrogado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 xml:space="preserve"> pela FUNSAUD mediante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solicitação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 xml:space="preserve"> da CONTRATADA acompanhada de justificativa e programação.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6. Indicadores de nível de serviço.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lastRenderedPageBreak/>
        <w:t>6.1 Indicadores definem o nível de serviço inicialmente exigido e que deve ser cumprido pela CONTRATADA. A qualquer tempo, no decorrer da vigência do contrato, os indicadores de nível de serviço poderão ser revistos, mediante acordo entre as partes.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6.2 A avaliação do nível de serviço será feita por ordem de serviço pela CONTRATANTE por meio do indicador denominado “Nota de Avaliação do Serviço” (NAS).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6.3 A Nota Mensal de Avaliação será calculada a partir do registro de ocorrências, que determinará a perda de pontos por parte da CONTRATADA considerando o impacto de criticidade de cada ocorrência, conforme a fórmula abaixo e a tabela de ocorrências a seguir: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B71E94" w:rsidRPr="004D5C0C" w:rsidRDefault="00B71E94" w:rsidP="00B71E94">
      <w:pPr>
        <w:pStyle w:val="Corpodetexto"/>
        <w:spacing w:before="153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552"/>
        <w:gridCol w:w="2220"/>
        <w:gridCol w:w="1559"/>
      </w:tblGrid>
      <w:tr w:rsidR="00B71E94" w:rsidRPr="004D5C0C" w:rsidTr="00B71E94">
        <w:trPr>
          <w:trHeight w:val="364"/>
        </w:trPr>
        <w:tc>
          <w:tcPr>
            <w:tcW w:w="7331" w:type="dxa"/>
            <w:gridSpan w:val="3"/>
          </w:tcPr>
          <w:p w:rsidR="00B71E94" w:rsidRPr="004D5C0C" w:rsidRDefault="00B71E94" w:rsidP="00B71E94">
            <w:pPr>
              <w:pStyle w:val="TableParagraph"/>
              <w:spacing w:before="87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ASPECTOS ADMINISTRATIVOS</w:t>
            </w:r>
          </w:p>
        </w:tc>
      </w:tr>
      <w:tr w:rsidR="00B71E94" w:rsidRPr="004D5C0C" w:rsidTr="00B71E94">
        <w:trPr>
          <w:trHeight w:val="276"/>
        </w:trPr>
        <w:tc>
          <w:tcPr>
            <w:tcW w:w="3552" w:type="dxa"/>
            <w:vMerge w:val="restart"/>
          </w:tcPr>
          <w:p w:rsidR="00B71E94" w:rsidRPr="004D5C0C" w:rsidRDefault="00B71E94" w:rsidP="00B71E94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71E94" w:rsidRPr="004D5C0C" w:rsidRDefault="00B71E94" w:rsidP="00B71E94">
            <w:pPr>
              <w:pStyle w:val="TableParagraph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%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 w:rsidR="007213F4">
              <w:rPr>
                <w:rFonts w:asciiTheme="minorHAnsi" w:hAnsiTheme="minorHAnsi" w:cstheme="minorHAnsi"/>
                <w:w w:val="105"/>
                <w:sz w:val="20"/>
                <w:szCs w:val="20"/>
              </w:rPr>
              <w:t>ATENDIMENTOS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REALIZADOS</w:t>
            </w:r>
          </w:p>
        </w:tc>
        <w:tc>
          <w:tcPr>
            <w:tcW w:w="3779" w:type="dxa"/>
            <w:gridSpan w:val="2"/>
          </w:tcPr>
          <w:p w:rsidR="00B71E94" w:rsidRPr="004D5C0C" w:rsidRDefault="00B71E94" w:rsidP="00B71E94">
            <w:pPr>
              <w:pStyle w:val="TableParagraph"/>
              <w:spacing w:before="38"/>
              <w:ind w:left="261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DESCONTO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SOBRE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O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VALOR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</w:tr>
      <w:tr w:rsidR="00B71E94" w:rsidRPr="004D5C0C" w:rsidTr="00B71E94">
        <w:trPr>
          <w:trHeight w:val="276"/>
        </w:trPr>
        <w:tc>
          <w:tcPr>
            <w:tcW w:w="3552" w:type="dxa"/>
            <w:vMerge/>
            <w:tcBorders>
              <w:top w:val="nil"/>
            </w:tcBorders>
          </w:tcPr>
          <w:p w:rsidR="00B71E94" w:rsidRPr="004D5C0C" w:rsidRDefault="00B71E94" w:rsidP="00B71E94">
            <w:pPr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38"/>
              <w:ind w:left="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spacing w:before="38"/>
              <w:ind w:left="266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APLICADO</w:t>
            </w:r>
          </w:p>
        </w:tc>
      </w:tr>
      <w:tr w:rsidR="00B71E94" w:rsidRPr="004D5C0C" w:rsidTr="00B71E94">
        <w:trPr>
          <w:trHeight w:val="364"/>
        </w:trPr>
        <w:tc>
          <w:tcPr>
            <w:tcW w:w="3552" w:type="dxa"/>
          </w:tcPr>
          <w:p w:rsidR="00B71E94" w:rsidRPr="004D5C0C" w:rsidRDefault="00B71E94" w:rsidP="00B71E94">
            <w:pPr>
              <w:pStyle w:val="TableParagraph"/>
              <w:spacing w:before="87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98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100%</w:t>
            </w:r>
            <w:r w:rsidRPr="004D5C0C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estimado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mensal</w:t>
            </w: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87"/>
              <w:ind w:left="11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0%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364"/>
        </w:trPr>
        <w:tc>
          <w:tcPr>
            <w:tcW w:w="3552" w:type="dxa"/>
          </w:tcPr>
          <w:p w:rsidR="00B71E94" w:rsidRPr="004D5C0C" w:rsidRDefault="00B71E94" w:rsidP="00B71E94">
            <w:pPr>
              <w:pStyle w:val="TableParagraph"/>
              <w:spacing w:before="87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95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97,9%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estimado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mensal</w:t>
            </w: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87"/>
              <w:ind w:left="11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2%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364"/>
        </w:trPr>
        <w:tc>
          <w:tcPr>
            <w:tcW w:w="3552" w:type="dxa"/>
          </w:tcPr>
          <w:p w:rsidR="00B71E94" w:rsidRPr="004D5C0C" w:rsidRDefault="00B71E94" w:rsidP="00B71E94">
            <w:pPr>
              <w:pStyle w:val="TableParagraph"/>
              <w:spacing w:before="87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92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94,9%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estimado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mensal</w:t>
            </w: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87"/>
              <w:ind w:left="11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4%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364"/>
        </w:trPr>
        <w:tc>
          <w:tcPr>
            <w:tcW w:w="3552" w:type="dxa"/>
          </w:tcPr>
          <w:p w:rsidR="00B71E94" w:rsidRPr="004D5C0C" w:rsidRDefault="00B71E94" w:rsidP="00B71E94">
            <w:pPr>
              <w:pStyle w:val="TableParagraph"/>
              <w:spacing w:before="87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90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91,9%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estimado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mensal</w:t>
            </w: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87"/>
              <w:ind w:left="11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6%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71E94" w:rsidRPr="004D5C0C" w:rsidRDefault="00B71E94" w:rsidP="00B71E94">
      <w:pPr>
        <w:pStyle w:val="Corpodetexto"/>
        <w:spacing w:before="171"/>
        <w:rPr>
          <w:rFonts w:asciiTheme="minorHAnsi" w:hAnsiTheme="minorHAnsi" w:cstheme="minorHAnsi"/>
          <w:b/>
          <w:sz w:val="20"/>
          <w:szCs w:val="20"/>
        </w:rPr>
      </w:pPr>
    </w:p>
    <w:p w:rsidR="00B71E94" w:rsidRPr="004D5C0C" w:rsidRDefault="00B71E94" w:rsidP="00B71E94">
      <w:pPr>
        <w:pStyle w:val="Corpodetexto"/>
        <w:ind w:left="168"/>
        <w:rPr>
          <w:rFonts w:asciiTheme="minorHAnsi" w:hAnsiTheme="minorHAnsi" w:cstheme="minorHAnsi"/>
          <w:sz w:val="20"/>
          <w:szCs w:val="20"/>
        </w:rPr>
      </w:pP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Abaixo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de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89,9%: serão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aplicadas medidas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sancionatórias, conforme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="006733A7"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artigo 156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da lei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="006733A7"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14.133/21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.</w:t>
      </w:r>
    </w:p>
    <w:p w:rsidR="00B71E94" w:rsidRPr="004D5C0C" w:rsidRDefault="00B71E94" w:rsidP="00B71E94">
      <w:pPr>
        <w:pStyle w:val="Corpodetexto"/>
        <w:spacing w:before="183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532"/>
        <w:gridCol w:w="1105"/>
        <w:gridCol w:w="868"/>
        <w:gridCol w:w="1105"/>
        <w:gridCol w:w="878"/>
        <w:gridCol w:w="878"/>
      </w:tblGrid>
      <w:tr w:rsidR="00B71E94" w:rsidRPr="004D5C0C" w:rsidTr="00B71E94">
        <w:trPr>
          <w:trHeight w:val="315"/>
        </w:trPr>
        <w:tc>
          <w:tcPr>
            <w:tcW w:w="8366" w:type="dxa"/>
            <w:gridSpan w:val="6"/>
            <w:shd w:val="clear" w:color="auto" w:fill="F1F1F1"/>
          </w:tcPr>
          <w:p w:rsidR="00B71E94" w:rsidRPr="004D5C0C" w:rsidRDefault="00B71E94" w:rsidP="00B71E94">
            <w:pPr>
              <w:pStyle w:val="TableParagraph"/>
              <w:spacing w:before="48"/>
              <w:ind w:lef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ASPECTOS</w:t>
            </w:r>
            <w:r w:rsidRPr="004D5C0C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TÉCNICOS</w:t>
            </w:r>
          </w:p>
        </w:tc>
      </w:tr>
      <w:tr w:rsidR="00B71E94" w:rsidRPr="004D5C0C" w:rsidTr="00B71E94">
        <w:trPr>
          <w:trHeight w:val="414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97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DESCRIÇÃO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spacing w:before="116"/>
              <w:ind w:left="242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PÉSSIMO</w:t>
            </w: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spacing w:before="116"/>
              <w:ind w:left="242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RUIM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spacing w:before="116"/>
              <w:ind w:left="202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REGULAR</w:t>
            </w: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spacing w:before="116"/>
              <w:ind w:left="272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BOM</w:t>
            </w: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spacing w:before="116"/>
              <w:ind w:left="198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ÓTIMO</w:t>
            </w: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176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Presteza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no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atendimento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dos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pacientes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58" w:line="302" w:lineRule="auto"/>
              <w:ind w:left="83" w:right="11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Qualidade</w:t>
            </w:r>
            <w:r w:rsidRPr="004D5C0C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técnica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sobre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as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atividades realizadas no âmbito hospitalar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176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Assiduidade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na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entrega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dos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laudos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58" w:line="302" w:lineRule="auto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Regularidade</w:t>
            </w:r>
            <w:r w:rsidRPr="004D5C0C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no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cumprimento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serviço programado junto à fiscalização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58" w:line="302" w:lineRule="auto"/>
              <w:ind w:left="83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Cordialidade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dos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profissionais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71E94" w:rsidRPr="004D5C0C" w:rsidRDefault="00B71E94" w:rsidP="00B71E94">
      <w:pPr>
        <w:rPr>
          <w:rFonts w:asciiTheme="minorHAnsi" w:hAnsiTheme="minorHAnsi" w:cstheme="minorHAnsi"/>
        </w:rPr>
      </w:pPr>
    </w:p>
    <w:p w:rsidR="006733A7" w:rsidRPr="003A233D" w:rsidRDefault="006733A7" w:rsidP="003A233D">
      <w:pPr>
        <w:jc w:val="both"/>
        <w:rPr>
          <w:rFonts w:cs="Calibri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t>A meta a ser cumprida pela CONTRATADA será a obtenção de u</w:t>
      </w:r>
      <w:r>
        <w:rPr>
          <w:rFonts w:eastAsiaTheme="minorHAnsi" w:cs="Calibri"/>
          <w:color w:val="211F1F"/>
          <w:lang w:eastAsia="en-US"/>
        </w:rPr>
        <w:t xml:space="preserve">ma Nota de Avaliação de Serviço </w:t>
      </w:r>
      <w:r w:rsidRPr="003A233D">
        <w:rPr>
          <w:rFonts w:eastAsiaTheme="minorHAnsi" w:cs="Calibri"/>
          <w:color w:val="211F1F"/>
          <w:lang w:eastAsia="en-US"/>
        </w:rPr>
        <w:t>(NAS) maior ou igual a 9,0.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t>7. A adequação do pagamento pelo não atendimento das metas estabel</w:t>
      </w:r>
      <w:r>
        <w:rPr>
          <w:rFonts w:eastAsiaTheme="minorHAnsi" w:cs="Calibri"/>
          <w:color w:val="211F1F"/>
          <w:lang w:eastAsia="en-US"/>
        </w:rPr>
        <w:t xml:space="preserve">ecidas dar-se-á de acordo com a </w:t>
      </w:r>
      <w:r w:rsidRPr="003A233D">
        <w:rPr>
          <w:rFonts w:eastAsiaTheme="minorHAnsi" w:cs="Calibri"/>
          <w:color w:val="211F1F"/>
          <w:lang w:eastAsia="en-US"/>
        </w:rPr>
        <w:t>Nota Mensal de Avaliação obtida pela CONTRATADA, considerando os critérios definidos a seguir: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lastRenderedPageBreak/>
        <w:t>7.1 Simples notificação, quando a</w:t>
      </w:r>
      <w:r>
        <w:rPr>
          <w:rFonts w:eastAsiaTheme="minorHAnsi" w:cs="Calibri"/>
          <w:color w:val="211F1F"/>
          <w:lang w:eastAsia="en-US"/>
        </w:rPr>
        <w:t xml:space="preserve"> Nota de Avaliação de Serviço</w:t>
      </w:r>
      <w:r w:rsidRPr="003A233D">
        <w:rPr>
          <w:rFonts w:eastAsiaTheme="minorHAnsi" w:cs="Calibri"/>
          <w:color w:val="211F1F"/>
          <w:lang w:eastAsia="en-US"/>
        </w:rPr>
        <w:t xml:space="preserve"> NAS for menor que 9,0 e maior ou igual a 8,0.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proofErr w:type="gramStart"/>
      <w:r w:rsidRPr="003A233D">
        <w:rPr>
          <w:rFonts w:eastAsiaTheme="minorHAnsi" w:cs="Calibri"/>
          <w:color w:val="211F1F"/>
          <w:lang w:eastAsia="en-US"/>
        </w:rPr>
        <w:t>7.2 Desconto</w:t>
      </w:r>
      <w:proofErr w:type="gramEnd"/>
      <w:r w:rsidRPr="003A233D">
        <w:rPr>
          <w:rFonts w:eastAsiaTheme="minorHAnsi" w:cs="Calibri"/>
          <w:color w:val="211F1F"/>
          <w:lang w:eastAsia="en-US"/>
        </w:rPr>
        <w:t xml:space="preserve"> de 1% do valor faturado (mensal) a cada ponto perd</w:t>
      </w:r>
      <w:r>
        <w:rPr>
          <w:rFonts w:eastAsiaTheme="minorHAnsi" w:cs="Calibri"/>
          <w:color w:val="211F1F"/>
          <w:lang w:eastAsia="en-US"/>
        </w:rPr>
        <w:t xml:space="preserve">ido, quando a NAS for menor que </w:t>
      </w:r>
      <w:r w:rsidRPr="003A233D">
        <w:rPr>
          <w:rFonts w:eastAsiaTheme="minorHAnsi" w:cs="Calibri"/>
          <w:color w:val="211F1F"/>
          <w:lang w:eastAsia="en-US"/>
        </w:rPr>
        <w:t>8,0 e maior ou igual a 5,0;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proofErr w:type="gramStart"/>
      <w:r w:rsidRPr="003A233D">
        <w:rPr>
          <w:rFonts w:eastAsiaTheme="minorHAnsi" w:cs="Calibri"/>
          <w:color w:val="211F1F"/>
          <w:lang w:eastAsia="en-US"/>
        </w:rPr>
        <w:t>7.3 Desconto</w:t>
      </w:r>
      <w:proofErr w:type="gramEnd"/>
      <w:r w:rsidRPr="003A233D">
        <w:rPr>
          <w:rFonts w:eastAsiaTheme="minorHAnsi" w:cs="Calibri"/>
          <w:color w:val="211F1F"/>
          <w:lang w:eastAsia="en-US"/>
        </w:rPr>
        <w:t xml:space="preserve"> de 5% do valor faturado (mensal), quando a NAS for inferior a 5,0.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t>7.4 Os descontos acima definidos incidirão sobre o valor total da Nota Fiscal.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t>8. A aplicação destes índices de desconto é instrumento de gestão contratual e não configura sanção. A</w:t>
      </w:r>
    </w:p>
    <w:p w:rsidR="006733A7" w:rsidRPr="003A233D" w:rsidRDefault="003A233D" w:rsidP="003A233D">
      <w:pPr>
        <w:jc w:val="both"/>
        <w:rPr>
          <w:rFonts w:cs="Calibri"/>
        </w:rPr>
      </w:pPr>
      <w:bookmarkStart w:id="0" w:name="_GoBack"/>
      <w:r w:rsidRPr="003A233D">
        <w:rPr>
          <w:rFonts w:eastAsiaTheme="minorHAnsi" w:cs="Calibri"/>
          <w:color w:val="211F1F"/>
          <w:lang w:eastAsia="en-US"/>
        </w:rPr>
        <w:t>Contratante poderá ainda, pela qualidade insuficiente, aplicar as penalidades previstas em contrato.</w:t>
      </w:r>
    </w:p>
    <w:bookmarkEnd w:id="0"/>
    <w:p w:rsidR="006733A7" w:rsidRPr="004D5C0C" w:rsidRDefault="006733A7" w:rsidP="006733A7">
      <w:pPr>
        <w:rPr>
          <w:rFonts w:asciiTheme="minorHAnsi" w:hAnsiTheme="minorHAnsi" w:cstheme="minorHAnsi"/>
        </w:rPr>
      </w:pPr>
    </w:p>
    <w:p w:rsidR="006733A7" w:rsidRPr="004D5C0C" w:rsidRDefault="006733A7" w:rsidP="006733A7">
      <w:pPr>
        <w:rPr>
          <w:rFonts w:asciiTheme="minorHAnsi" w:hAnsiTheme="minorHAnsi" w:cstheme="minorHAnsi"/>
        </w:rPr>
      </w:pPr>
    </w:p>
    <w:p w:rsidR="006F11B4" w:rsidRDefault="005337F9" w:rsidP="004D5C0C">
      <w:pPr>
        <w:tabs>
          <w:tab w:val="left" w:pos="405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330049">
        <w:rPr>
          <w:rFonts w:asciiTheme="minorHAnsi" w:hAnsiTheme="minorHAnsi" w:cstheme="minorHAnsi"/>
        </w:rPr>
        <w:t>Dourados, ___de ________de 2024.</w:t>
      </w: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330049">
      <w:pPr>
        <w:tabs>
          <w:tab w:val="left" w:pos="4055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---------------------------------------------------------</w:t>
      </w:r>
    </w:p>
    <w:p w:rsidR="00330049" w:rsidRPr="004D5C0C" w:rsidRDefault="00330049" w:rsidP="00330049">
      <w:pPr>
        <w:tabs>
          <w:tab w:val="left" w:pos="4055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Fiscal Técnico</w:t>
      </w:r>
    </w:p>
    <w:sectPr w:rsidR="00330049" w:rsidRPr="004D5C0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C3B" w:rsidRDefault="00926C3B" w:rsidP="00C06262">
      <w:r>
        <w:separator/>
      </w:r>
    </w:p>
  </w:endnote>
  <w:endnote w:type="continuationSeparator" w:id="0">
    <w:p w:rsidR="00926C3B" w:rsidRDefault="00926C3B" w:rsidP="00C0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C3B" w:rsidRDefault="00926C3B" w:rsidP="00C06262">
      <w:r>
        <w:separator/>
      </w:r>
    </w:p>
  </w:footnote>
  <w:footnote w:type="continuationSeparator" w:id="0">
    <w:p w:rsidR="00926C3B" w:rsidRDefault="00926C3B" w:rsidP="00C06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3B" w:rsidRDefault="00926C3B" w:rsidP="00C06262">
    <w:pPr>
      <w:pStyle w:val="Cabealho"/>
    </w:pPr>
    <w:r>
      <w:rPr>
        <w:b/>
        <w:noProof/>
        <w:color w:val="17365D"/>
      </w:rPr>
      <w:drawing>
        <wp:anchor distT="0" distB="0" distL="114300" distR="114300" simplePos="0" relativeHeight="251659264" behindDoc="1" locked="0" layoutInCell="1" allowOverlap="1" wp14:anchorId="70E4D658" wp14:editId="15FFD4C6">
          <wp:simplePos x="0" y="0"/>
          <wp:positionH relativeFrom="column">
            <wp:posOffset>5065318</wp:posOffset>
          </wp:positionH>
          <wp:positionV relativeFrom="paragraph">
            <wp:posOffset>23472</wp:posOffset>
          </wp:positionV>
          <wp:extent cx="880745" cy="873760"/>
          <wp:effectExtent l="0" t="0" r="0" b="2540"/>
          <wp:wrapNone/>
          <wp:docPr id="18" name="Imagem 18" descr="Carimbo de folhas FUNSA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3" descr="Carimbo de folhas FUNSA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26C3B" w:rsidRDefault="00926C3B" w:rsidP="00C06262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F3A92F4" wp14:editId="752455AE">
              <wp:simplePos x="0" y="0"/>
              <wp:positionH relativeFrom="column">
                <wp:posOffset>111125</wp:posOffset>
              </wp:positionH>
              <wp:positionV relativeFrom="paragraph">
                <wp:posOffset>69850</wp:posOffset>
              </wp:positionV>
              <wp:extent cx="671195" cy="612775"/>
              <wp:effectExtent l="0" t="3175" r="0" b="3175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195" cy="612775"/>
                        <a:chOff x="1670" y="644"/>
                        <a:chExt cx="1057" cy="965"/>
                      </a:xfrm>
                    </wpg:grpSpPr>
                    <wpg:grpSp>
                      <wpg:cNvPr id="11" name="Grupo 1"/>
                      <wpg:cNvGrpSpPr>
                        <a:grpSpLocks/>
                      </wpg:cNvGrpSpPr>
                      <wpg:grpSpPr bwMode="auto">
                        <a:xfrm>
                          <a:off x="1886" y="644"/>
                          <a:ext cx="614" cy="678"/>
                          <a:chOff x="0" y="0"/>
                          <a:chExt cx="5785" cy="7147"/>
                        </a:xfrm>
                      </wpg:grpSpPr>
                      <wps:wsp>
                        <wps:cNvPr id="12" name="Elipse 57"/>
                        <wps:cNvSpPr>
                          <a:spLocks noChangeArrowheads="1"/>
                        </wps:cNvSpPr>
                        <wps:spPr bwMode="auto">
                          <a:xfrm>
                            <a:off x="2237" y="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6C3B" w:rsidRDefault="00926C3B" w:rsidP="00C06262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Elipse 58"/>
                        <wps:cNvSpPr>
                          <a:spLocks noChangeArrowheads="1"/>
                        </wps:cNvSpPr>
                        <wps:spPr bwMode="auto">
                          <a:xfrm>
                            <a:off x="3988" y="2529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6C3B" w:rsidRDefault="00926C3B" w:rsidP="00C06262">
                              <w:pPr>
                                <w:jc w:val="center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Caixa de texto 62"/>
                        <wps:cNvSpPr>
                          <a:spLocks/>
                        </wps:cNvSpPr>
                        <wps:spPr bwMode="auto">
                          <a:xfrm>
                            <a:off x="1167" y="778"/>
                            <a:ext cx="3594" cy="4616"/>
                          </a:xfrm>
                          <a:custGeom>
                            <a:avLst/>
                            <a:gdLst>
                              <a:gd name="T0" fmla="*/ 50 w 1579369"/>
                              <a:gd name="T1" fmla="*/ 0 h 2397042"/>
                              <a:gd name="T2" fmla="*/ 818 w 1579369"/>
                              <a:gd name="T3" fmla="*/ 68 h 2397042"/>
                              <a:gd name="T4" fmla="*/ 818 w 1579369"/>
                              <a:gd name="T5" fmla="*/ 849 h 2397042"/>
                              <a:gd name="T6" fmla="*/ 375 w 1579369"/>
                              <a:gd name="T7" fmla="*/ 724 h 2397042"/>
                              <a:gd name="T8" fmla="*/ 0 w 1579369"/>
                              <a:gd name="T9" fmla="*/ 852 h 2397042"/>
                              <a:gd name="T10" fmla="*/ 50 w 1579369"/>
                              <a:gd name="T11" fmla="*/ 0 h 2397042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579369"/>
                              <a:gd name="T19" fmla="*/ 0 h 2397042"/>
                              <a:gd name="T20" fmla="*/ 1579369 w 1579369"/>
                              <a:gd name="T21" fmla="*/ 2397042 h 2397042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579369" h="2397042">
                                <a:moveTo>
                                  <a:pt x="96281" y="0"/>
                                </a:moveTo>
                                <a:cubicBezTo>
                                  <a:pt x="444360" y="659588"/>
                                  <a:pt x="874893" y="1571707"/>
                                  <a:pt x="1579369" y="182294"/>
                                </a:cubicBezTo>
                                <a:cubicBezTo>
                                  <a:pt x="1579328" y="885027"/>
                                  <a:pt x="308650" y="1267268"/>
                                  <a:pt x="1579245" y="2290494"/>
                                </a:cubicBezTo>
                                <a:cubicBezTo>
                                  <a:pt x="1436759" y="2640861"/>
                                  <a:pt x="987660" y="1950629"/>
                                  <a:pt x="724452" y="1951947"/>
                                </a:cubicBezTo>
                                <a:cubicBezTo>
                                  <a:pt x="461245" y="1953265"/>
                                  <a:pt x="120742" y="2648771"/>
                                  <a:pt x="0" y="2298403"/>
                                </a:cubicBezTo>
                                <a:cubicBezTo>
                                  <a:pt x="748235" y="1391504"/>
                                  <a:pt x="241676" y="677324"/>
                                  <a:pt x="9628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9242"/>
                          </a:solidFill>
                          <a:ln w="6350">
                            <a:solidFill>
                              <a:srgbClr val="548DD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26C3B" w:rsidRDefault="00926C3B" w:rsidP="00C062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Elipse 64"/>
                        <wps:cNvSpPr>
                          <a:spLocks noChangeArrowheads="1"/>
                        </wps:cNvSpPr>
                        <wps:spPr bwMode="auto">
                          <a:xfrm>
                            <a:off x="0" y="2431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6C3B" w:rsidRDefault="00926C3B" w:rsidP="00C06262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Elipse 65"/>
                        <wps:cNvSpPr>
                          <a:spLocks noChangeArrowheads="1"/>
                        </wps:cNvSpPr>
                        <wps:spPr bwMode="auto">
                          <a:xfrm>
                            <a:off x="1848" y="535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6C3B" w:rsidRDefault="00926C3B" w:rsidP="00C06262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17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1670" y="1322"/>
                          <a:ext cx="1057" cy="2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6C3B" w:rsidRDefault="00926C3B" w:rsidP="00C06262">
                            <w:pPr>
                              <w:ind w:right="-206"/>
                              <w:rPr>
                                <w:color w:val="007A37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color w:val="00823B"/>
                                <w:sz w:val="12"/>
                                <w:szCs w:val="12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7A37"/>
                                <w:sz w:val="14"/>
                                <w:szCs w:val="14"/>
                              </w:rPr>
                              <w:t>FUNSAUD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0" o:spid="_x0000_s1026" style="position:absolute;margin-left:8.75pt;margin-top:5.5pt;width:52.85pt;height:48.25pt;z-index:-251656192" coordorigin="1670,644" coordsize="1057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">
              <v:group id="Grupo 1" o:spid="_x0000_s1027" style="position:absolute;left:1886;top:644;width:614;height:678" coordsize="5785,7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oval id="Elipse 57" o:spid="_x0000_s1028" style="position:absolute;left:2237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QF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Z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GeQF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B71E94" w:rsidRDefault="00B71E94" w:rsidP="00C06262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58" o:spid="_x0000_s1029" style="position:absolute;left:3988;top:2529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1jbsA&#10;AADbAAAADwAAAGRycy9kb3ducmV2LnhtbERPSwrCMBDdC94hjOBOUxVFqlHED7i1eoChGdtiMylJ&#10;tPX2RhDczeN9Z73tTC1e5HxlWcFknIAgzq2uuFBwu55GSxA+IGusLZOCN3nYbvq9NabatnyhVxYK&#10;EUPYp6igDKFJpfR5SQb92DbEkbtbZzBE6AqpHbYx3NRymiQLabDi2FBiQ/uS8kf2NAqsbhP3OBa7&#10;w+H8zFq+Ne8Lz5UaDrrdCkSgLvzFP/dZx/kz+P4SD5CbD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MrNY27AAAA2wAAAA8AAAAAAAAAAAAAAAAAmAIAAGRycy9kb3ducmV2Lnht&#10;bFBLBQYAAAAABAAEAPUAAACAAwAAAAA=&#10;" fillcolor="#0d1db3" stroked="f" strokeweight="2pt">
                  <v:fill opacity="52428f"/>
                  <v:textbox>
                    <w:txbxContent>
                      <w:p w:rsidR="00B71E94" w:rsidRDefault="00B71E94" w:rsidP="00C06262">
                        <w:pPr>
                          <w:jc w:val="center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shape id="Caixa de texto 62" o:spid="_x0000_s1030" style="position:absolute;left:1167;top:778;width:3594;height:4616;visibility:visible;mso-wrap-style:square;v-text-anchor:top" coordsize="1579369,2397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zo5sMA&#10;AADbAAAADwAAAGRycy9kb3ducmV2LnhtbESP0WoCMRBF3wX/IYzQN81qZSur2UWEQh/aUq0fMGzG&#10;zeJmsiRRt369KRT6NsO998ydTTXYTlzJh9axgvksA0FcO91yo+D4/TpdgQgRWWPnmBT8UICqHI82&#10;WGh34z1dD7ERCcKhQAUmxr6QMtSGLIaZ64mTdnLeYkyrb6T2eEtw28lFluXSYsvpgsGedobq8+Fi&#10;FQwvzwn4cXHm0y+3X/YeKM/flXqaDNs1iEhD/Df/pd90qr+E31/SALJ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zo5sMAAADbAAAADwAAAAAAAAAAAAAAAACYAgAAZHJzL2Rv&#10;d25yZXYueG1sUEsFBgAAAAAEAAQA9QAAAIgDAAAAAA==&#10;" adj="-11796480,,5400" path="m96281,c444360,659588,874893,1571707,1579369,182294v-41,702733,-1270719,1084974,-124,2108200c1436759,2640861,987660,1950629,724452,1951947,461245,1953265,120742,2648771,,2298403,748235,1391504,241676,677324,96281,xe" fillcolor="#009242" strokecolor="#548dd4" strokeweight=".5pt">
                  <v:stroke joinstyle="miter"/>
                  <v:formulas/>
                  <v:path arrowok="t" o:connecttype="custom" o:connectlocs="0,0;2,0;2,2;1,1;0,2;0,0" o:connectangles="0,0,0,0,0,0" textboxrect="0,0,1579369,2397042"/>
                  <v:textbox>
                    <w:txbxContent>
                      <w:p w:rsidR="00B71E94" w:rsidRDefault="00B71E94" w:rsidP="00C06262"/>
                    </w:txbxContent>
                  </v:textbox>
                </v:shape>
                <v:oval id="Elipse 64" o:spid="_x0000_s1031" style="position:absolute;top:2431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4IY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5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844IY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B71E94" w:rsidRDefault="00B71E94" w:rsidP="00C06262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65" o:spid="_x0000_s1032" style="position:absolute;left:1848;top:5350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yWFb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F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1yWFb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B71E94" w:rsidRDefault="00B71E94" w:rsidP="00C06262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33" type="#_x0000_t202" style="position:absolute;left:1670;top:1322;width:1057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phzcAA&#10;AADbAAAADwAAAGRycy9kb3ducmV2LnhtbERPyWrDMBC9F/IPYgq91bJDaIobxZRAIadAs/g8WFPL&#10;1BoZSU1sf31VKOQ2j7fOphptL67kQ+dYQZHlIIgbpztuFZxPH8+vIEJE1tg7JgUTBai2i4cNltrd&#10;+JOux9iKFMKhRAUmxqGUMjSGLIbMDcSJ+3LeYkzQt1J7vKVw28tlnr9Iix2nBoMD7Qw138cfq6Bu&#10;7VxfisEbbfsVH+bpdHadUk+P4/sbiEhjvIv/3Xud5q/h75d0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phzcAAAADbAAAADwAAAAAAAAAAAAAAAACYAgAAZHJzL2Rvd25y&#10;ZXYueG1sUEsFBgAAAAAEAAQA9QAAAIUDAAAAAA==&#10;" stroked="f" strokeweight=".5pt">
                <v:textbox>
                  <w:txbxContent>
                    <w:p w:rsidR="00B71E94" w:rsidRDefault="00B71E94" w:rsidP="00C06262">
                      <w:pPr>
                        <w:ind w:right="-206"/>
                        <w:rPr>
                          <w:color w:val="007A37"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color w:val="00823B"/>
                          <w:sz w:val="12"/>
                          <w:szCs w:val="12"/>
                        </w:rPr>
                        <w:t xml:space="preserve">  </w:t>
                      </w:r>
                      <w:r>
                        <w:rPr>
                          <w:b/>
                          <w:color w:val="007A37"/>
                          <w:sz w:val="14"/>
                          <w:szCs w:val="14"/>
                        </w:rPr>
                        <w:t>FUNSAUD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926C3B" w:rsidRDefault="00926C3B" w:rsidP="00C06262">
    <w:pPr>
      <w:pStyle w:val="Cabealho"/>
      <w:tabs>
        <w:tab w:val="left" w:pos="8504"/>
      </w:tabs>
    </w:pPr>
  </w:p>
  <w:p w:rsidR="00926C3B" w:rsidRDefault="00926C3B">
    <w:pPr>
      <w:pStyle w:val="Cabealho"/>
    </w:pPr>
  </w:p>
  <w:p w:rsidR="00926C3B" w:rsidRPr="005E7A75" w:rsidRDefault="00926C3B" w:rsidP="00C06262">
    <w:pPr>
      <w:pStyle w:val="Cabealho"/>
      <w:jc w:val="center"/>
      <w:rPr>
        <w:b/>
        <w:color w:val="17365D"/>
        <w:sz w:val="24"/>
        <w:szCs w:val="24"/>
      </w:rPr>
    </w:pPr>
    <w:r>
      <w:tab/>
    </w:r>
    <w:r w:rsidRPr="005E7A75">
      <w:rPr>
        <w:b/>
        <w:color w:val="17365D"/>
        <w:sz w:val="24"/>
        <w:szCs w:val="24"/>
      </w:rPr>
      <w:t>FUNDAÇÃO DE SERVIÇOS DE SAÚDE DE DOURADOS-FUNSAUD</w:t>
    </w:r>
  </w:p>
  <w:p w:rsidR="00926C3B" w:rsidRPr="000717F8" w:rsidRDefault="00926C3B" w:rsidP="00C06262">
    <w:pPr>
      <w:pStyle w:val="Cabealho"/>
      <w:pBdr>
        <w:bottom w:val="thinThickSmallGap" w:sz="24" w:space="1" w:color="00B050"/>
      </w:pBdr>
      <w:jc w:val="center"/>
      <w:rPr>
        <w:color w:val="548DD4"/>
        <w:sz w:val="12"/>
      </w:rPr>
    </w:pPr>
  </w:p>
  <w:p w:rsidR="00926C3B" w:rsidRDefault="00926C3B" w:rsidP="00C06262">
    <w:pPr>
      <w:pStyle w:val="Cabealho"/>
      <w:tabs>
        <w:tab w:val="clear" w:pos="4252"/>
        <w:tab w:val="clear" w:pos="8504"/>
        <w:tab w:val="left" w:pos="335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62"/>
    <w:rsid w:val="001A7328"/>
    <w:rsid w:val="00330049"/>
    <w:rsid w:val="003A233D"/>
    <w:rsid w:val="004D5C0C"/>
    <w:rsid w:val="005337F9"/>
    <w:rsid w:val="005C08C8"/>
    <w:rsid w:val="005C53EB"/>
    <w:rsid w:val="006733A7"/>
    <w:rsid w:val="006F11B4"/>
    <w:rsid w:val="007213F4"/>
    <w:rsid w:val="0072526A"/>
    <w:rsid w:val="00926C3B"/>
    <w:rsid w:val="00971E27"/>
    <w:rsid w:val="00B71E94"/>
    <w:rsid w:val="00C06262"/>
    <w:rsid w:val="00DF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62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iPriority w:val="99"/>
    <w:unhideWhenUsed/>
    <w:rsid w:val="00C0626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C06262"/>
    <w:rPr>
      <w:rFonts w:ascii="Calibri" w:eastAsia="Calibri" w:hAnsi="Calibri" w:cs="Arial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626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6262"/>
    <w:rPr>
      <w:rFonts w:ascii="Calibri" w:eastAsia="Calibri" w:hAnsi="Calibri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626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62"/>
    <w:rPr>
      <w:rFonts w:ascii="Tahoma" w:eastAsia="Calibri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71E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71E9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19"/>
      <w:szCs w:val="19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B71E94"/>
    <w:rPr>
      <w:rFonts w:ascii="Times New Roman" w:eastAsia="Times New Roman" w:hAnsi="Times New Roman" w:cs="Times New Roman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B71E94"/>
    <w:pPr>
      <w:widowControl w:val="0"/>
      <w:autoSpaceDE w:val="0"/>
      <w:autoSpaceDN w:val="0"/>
    </w:pPr>
    <w:rPr>
      <w:rFonts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7252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62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iPriority w:val="99"/>
    <w:unhideWhenUsed/>
    <w:rsid w:val="00C0626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C06262"/>
    <w:rPr>
      <w:rFonts w:ascii="Calibri" w:eastAsia="Calibri" w:hAnsi="Calibri" w:cs="Arial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626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6262"/>
    <w:rPr>
      <w:rFonts w:ascii="Calibri" w:eastAsia="Calibri" w:hAnsi="Calibri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626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62"/>
    <w:rPr>
      <w:rFonts w:ascii="Tahoma" w:eastAsia="Calibri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71E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71E9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19"/>
      <w:szCs w:val="19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B71E94"/>
    <w:rPr>
      <w:rFonts w:ascii="Times New Roman" w:eastAsia="Times New Roman" w:hAnsi="Times New Roman" w:cs="Times New Roman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B71E94"/>
    <w:pPr>
      <w:widowControl w:val="0"/>
      <w:autoSpaceDE w:val="0"/>
      <w:autoSpaceDN w:val="0"/>
    </w:pPr>
    <w:rPr>
      <w:rFonts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725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765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compras3</dc:creator>
  <cp:lastModifiedBy>compras04</cp:lastModifiedBy>
  <cp:revision>5</cp:revision>
  <cp:lastPrinted>2024-02-06T11:59:00Z</cp:lastPrinted>
  <dcterms:created xsi:type="dcterms:W3CDTF">2024-01-30T18:34:00Z</dcterms:created>
  <dcterms:modified xsi:type="dcterms:W3CDTF">2024-05-14T12:47:00Z</dcterms:modified>
</cp:coreProperties>
</file>